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Georgia" w:hAnsi="Georgia" w:cs="Georgia"/>
          <w:sz w:val="24"/>
          <w:sz-cs w:val="24"/>
          <w:spacing w:val="0"/>
          <w:color w:val="A3400B"/>
        </w:rPr>
        <w:t xml:space="preserve">THE LEADERSHIP COMPASS</w:t>
      </w:r>
    </w:p>
    <w:p>
      <w:pPr>
        <w:spacing w:after="348"/>
      </w:pPr>
      <w:r>
        <w:rPr>
          <w:rFonts w:ascii="Georgia" w:hAnsi="Georgia" w:cs="Georgia"/>
          <w:sz w:val="52"/>
          <w:sz-cs w:val="52"/>
          <w:b/>
          <w:spacing w:val="0"/>
        </w:rPr>
        <w:t xml:space="preserve">The 90-Day Leadership Reset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i/>
          <w:spacing w:val="0"/>
          <w:color w:val="5E5D67"/>
        </w:rPr>
        <w:t xml:space="preserve">A practical guide for leaders entering a new role — or restarting an existing one.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The principle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The pressure to make an early mark ruins more leadership transitions than incompetence ever has. Every organization you inherit is a working system; the first 90 days are for learning it before you change it. You only get to be new once.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Weeks 1–4: The listening tour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Meet everyone who will talk to you. Ask better questions than "what should I know?":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What works here that nobody celebrates?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What has every previous leader gotten wrong?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What would you protect if I started changing things?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What's something you keep meaning to raise but never has the right moment?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Write everything down. The patterns across twenty conversations are your real briefing. Resist the urge to commit to fixes during these conversations — say "I'm hearing this, and I'll come back to it."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Weeks 5–8: Map the informal organization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The org chart tells you who reports to whom — not who influences whom. Identify: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Whose opinion quietly decides meetings, regardless of title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Who onboards every newcomer without being asked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Who holds the institutional memory</w:t>
      </w:r>
    </w:p>
    <w:p>
      <w:pPr>
        <w:ind w:left="720" w:first-line="-720"/>
        <w:spacing w:after="120"/>
      </w:pPr>
      <w:r>
        <w:rPr>
          <w:rFonts w:ascii="Georgia" w:hAnsi="Georgia" w:cs="Georgia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Georgia" w:hAnsi="Georgia" w:cs="Georgia"/>
          <w:sz w:val="24"/>
          <w:sz-cs w:val="24"/>
          <w:spacing w:val="0"/>
        </w:rPr>
        <w:t xml:space="preserve">Which relationships between teams are warm, cold, or broken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Weeks 9–12: One visible win — on their list, not yours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From your notes, pick one complaint that is real, fixable, and long-ignored (a broken tool, a pointless approval step). Fix it completely and credit the people who flagged it. This buys more credibility than any strategic announcement.</w:t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The 90-day checklist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Item</w:t>
      </w:r>
    </w:p>
    <w:p>
      <w:pPr/>
      <w:r>
        <w:rPr>
          <w:rFonts w:ascii="Georgia" w:hAnsi="Georgia" w:cs="Georgia"/>
          <w:sz w:val="24"/>
          <w:sz-cs w:val="24"/>
          <w:b/>
          <w:spacing w:val="0"/>
        </w:rPr>
        <w:t xml:space="preserve">Done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20+ listening conversations completed and noted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Patterns summarized: top 5 strengths, top 5 frustrations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Informal influence map sketched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Key external relationships met (clients, partners, peers)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One visible win delivered and credited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Personal operating manual shared with the team (how you work, how to reach you)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>Priorities draft tested with 3 trusted voices before announcing</w:t>
      </w:r>
    </w:p>
    <w:p>
      <w:pPr/>
      <w:r>
        <w:rPr>
          <w:rFonts w:ascii="Georgia" w:hAnsi="Georgia" w:cs="Georgia"/>
          <w:sz w:val="24"/>
          <w:sz-cs w:val="24"/>
          <w:spacing w:val="0"/>
        </w:rPr>
        <w:t xml:space="preserve"/>
      </w:r>
    </w:p>
    <w:p>
      <w:pPr>
        <w:spacing w:after="315"/>
      </w:pPr>
      <w:r>
        <w:rPr>
          <w:rFonts w:ascii="Georgia" w:hAnsi="Georgia" w:cs="Georgia"/>
          <w:sz w:val="38"/>
          <w:sz-cs w:val="38"/>
          <w:b/>
          <w:spacing w:val="0"/>
        </w:rPr>
        <w:t xml:space="preserve">The crisis exception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</w:rPr>
        <w:t xml:space="preserve">If you were hired into a genuine crisis (cash, compliance, exodus), compress this from ninety days to fifteen — but first verify the crisis is real and not just the story your predecessor's critics told the hiring panel.</w:t>
      </w:r>
    </w:p>
    <w:p>
      <w:pPr>
        <w:spacing w:after="240"/>
      </w:pPr>
      <w:r>
        <w:rPr>
          <w:rFonts w:ascii="Georgia" w:hAnsi="Georgia" w:cs="Georgia"/>
          <w:sz w:val="24"/>
          <w:sz-cs w:val="24"/>
          <w:spacing w:val="0"/>
          <w:color w:val="5E5D67"/>
        </w:rPr>
        <w:t xml:space="preserve">© The Leadership Compass by Sudarshan · leadership-compass-tau.vercel.app · You may use and adapt this freely within your organization.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CocoaOOXMLWriter/2685.6</generator>
</meta>
</file>