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Calibri" w:cs="Calibri" w:eastAsia="Calibri" w:hAnsi="Calibri"/>
          <w:b/>
          <w:bCs/>
          <w:color w:val="18181B"/>
          <w:sz w:val="40"/>
          <w:szCs w:val="40"/>
        </w:rPr>
        <w:t xml:space="preserve">The Delegation Decision Matrix</w:t>
      </w:r>
    </w:p>
    <w:p>
      <w:pPr>
        <w:pBdr>
          <w:bottom w:val="single" w:color="B45309" w:sz="6" w:space="8"/>
        </w:pBdr>
        <w:spacing w:after="240"/>
      </w:pPr>
      <w:r>
        <w:rPr>
          <w:rFonts w:ascii="Calibri" w:cs="Calibri" w:eastAsia="Calibri" w:hAnsi="Calibri"/>
          <w:i/>
          <w:iCs/>
          <w:color w:val="52525B"/>
          <w:sz w:val="22"/>
          <w:szCs w:val="22"/>
        </w:rPr>
        <w:t xml:space="preserve">Delegation is not dumping — it is a deliberate transfer of ownership at the right level.</w:t>
      </w:r>
    </w:p>
    <w:p>
      <w:pPr>
        <w:spacing w:after="140"/>
      </w:pPr>
      <w:r>
        <w:rPr>
          <w:rFonts w:ascii="Calibri" w:cs="Calibri" w:eastAsia="Calibri" w:hAnsi="Calibri"/>
          <w:color w:val="27272A"/>
          <w:sz w:val="22"/>
          <w:szCs w:val="22"/>
        </w:rPr>
        <w:t xml:space="preserve">Poor delegation fails in one of two directions: you hand over a task with no authority (dumping), or you hand over authority you should have kept (abdicating). The fix is to be explicit about the level of autonomy for each task. This matrix helps you decide what to delegate, to whom, and how much room to give.</w:t>
      </w:r>
    </w:p>
    <w:p>
      <w:pPr>
        <w:pBdr>
          <w:left w:val="single" w:color="B45309" w:sz="18" w:space="12"/>
        </w:pBdr>
        <w:shd w:fill="FEF3C7" w:val="clear"/>
        <w:spacing w:after="160" w:before="120"/>
      </w:pPr>
      <w:r>
        <w:rPr>
          <w:rFonts w:ascii="Calibri" w:cs="Calibri" w:eastAsia="Calibri" w:hAnsi="Calibri"/>
          <w:color w:val="18181B"/>
          <w:sz w:val="22"/>
          <w:szCs w:val="22"/>
        </w:rPr>
        <w:t xml:space="preserve">Before you delegate, answer one question: what level of decision-making am I actually handing over? Name it out loud, or the other person will guess — and guess wrong.</w:t>
      </w:r>
    </w:p>
    <w:p>
      <w:pPr>
        <w:spacing w:after="100" w:before="260"/>
      </w:pPr>
      <w:r>
        <w:rPr>
          <w:rFonts w:ascii="Calibri" w:cs="Calibri" w:eastAsia="Calibri" w:hAnsi="Calibri"/>
          <w:b/>
          <w:bCs/>
          <w:color w:val="B45309"/>
          <w:sz w:val="26"/>
          <w:szCs w:val="26"/>
        </w:rPr>
        <w:t xml:space="preserve">The five levels of delegation</w:t>
      </w:r>
    </w:p>
    <w:p>
      <w:pPr>
        <w:spacing w:after="140"/>
      </w:pPr>
      <w:r>
        <w:rPr>
          <w:rFonts w:ascii="Calibri" w:cs="Calibri" w:eastAsia="Calibri" w:hAnsi="Calibri"/>
          <w:color w:val="27272A"/>
          <w:sz w:val="22"/>
          <w:szCs w:val="22"/>
        </w:rPr>
        <w:t xml:space="preserve">For any task, choose the level that matches the person’s judgment and the stakes of the decision.</w:t>
      </w:r>
    </w:p>
    <w:tbl>
      <w:tblPr>
        <w:tblW w:type="dxa" w:w="7400"/>
        <w:tblBorders>
          <w:top w:val="single" w:color="auto" w:sz="4"/>
          <w:left w:val="single" w:color="auto" w:sz="4"/>
          <w:bottom w:val="single" w:color="auto" w:sz="4"/>
          <w:right w:val="single" w:color="auto" w:sz="4"/>
          <w:insideH w:val="single" w:color="auto" w:sz="4"/>
          <w:insideV w:val="single" w:color="auto" w:sz="4"/>
        </w:tblBorders>
      </w:tblPr>
      <w:tblGrid>
        <w:gridCol w:w="1900"/>
        <w:gridCol w:w="3400"/>
        <w:gridCol w:w="2100"/>
      </w:tblGrid>
      <w:tr>
        <w:trPr>
          <w:tblHeader/>
        </w:trPr>
        <w:tc>
          <w:tcPr>
            <w:tcW w:type="dxa" w:w="19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Level</w:t>
            </w:r>
          </w:p>
        </w:tc>
        <w:tc>
          <w:tcPr>
            <w:tcW w:type="dxa" w:w="34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What it means</w:t>
            </w:r>
          </w:p>
        </w:tc>
        <w:tc>
          <w:tcPr>
            <w:tcW w:type="dxa" w:w="21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Best when</w:t>
            </w:r>
          </w:p>
        </w:tc>
      </w:tr>
      <w:tr>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1 · Do</w:t>
            </w:r>
          </w:p>
        </w:tc>
        <w:tc>
          <w:tcPr>
            <w:tcW w:type="dxa" w:w="34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Do exactly as instructed; report back.</w:t>
            </w:r>
          </w:p>
        </w:tc>
        <w:tc>
          <w:tcPr>
            <w:tcW w:type="dxa" w:w="21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New skill, high stakes</w:t>
            </w:r>
          </w:p>
        </w:tc>
      </w:tr>
      <w:tr>
        <w:tc>
          <w:tcPr>
            <w:tcW w:type="dxa" w:w="19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2 · Recommend</w:t>
            </w:r>
          </w:p>
        </w:tc>
        <w:tc>
          <w:tcPr>
            <w:tcW w:type="dxa" w:w="34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Investigate and propose; I decide.</w:t>
            </w:r>
          </w:p>
        </w:tc>
        <w:tc>
          <w:tcPr>
            <w:tcW w:type="dxa" w:w="21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Building judgment</w:t>
            </w:r>
          </w:p>
        </w:tc>
      </w:tr>
      <w:tr>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3 · Decide with check-in</w:t>
            </w:r>
          </w:p>
        </w:tc>
        <w:tc>
          <w:tcPr>
            <w:tcW w:type="dxa" w:w="34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Decide, but run it past me first.</w:t>
            </w:r>
          </w:p>
        </w:tc>
        <w:tc>
          <w:tcPr>
            <w:tcW w:type="dxa" w:w="21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Growing trust</w:t>
            </w:r>
          </w:p>
        </w:tc>
      </w:tr>
      <w:tr>
        <w:tc>
          <w:tcPr>
            <w:tcW w:type="dxa" w:w="19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4 · Decide &amp; act</w:t>
            </w:r>
          </w:p>
        </w:tc>
        <w:tc>
          <w:tcPr>
            <w:tcW w:type="dxa" w:w="34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Decide and act; tell me what you did.</w:t>
            </w:r>
          </w:p>
        </w:tc>
        <w:tc>
          <w:tcPr>
            <w:tcW w:type="dxa" w:w="21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Proven in this area</w:t>
            </w:r>
          </w:p>
        </w:tc>
      </w:tr>
      <w:tr>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5 · Own</w:t>
            </w:r>
          </w:p>
        </w:tc>
        <w:tc>
          <w:tcPr>
            <w:tcW w:type="dxa" w:w="34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Full ownership; no need to report routine calls.</w:t>
            </w:r>
          </w:p>
        </w:tc>
        <w:tc>
          <w:tcPr>
            <w:tcW w:type="dxa" w:w="21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Fully trusted</w:t>
            </w:r>
          </w:p>
        </w:tc>
      </w:tr>
    </w:tbl>
    <w:p>
      <w:pPr>
        <w:spacing w:after="100" w:before="260"/>
      </w:pPr>
      <w:r>
        <w:rPr>
          <w:rFonts w:ascii="Calibri" w:cs="Calibri" w:eastAsia="Calibri" w:hAnsi="Calibri"/>
          <w:b/>
          <w:bCs/>
          <w:color w:val="B45309"/>
          <w:sz w:val="26"/>
          <w:szCs w:val="26"/>
        </w:rPr>
        <w:t xml:space="preserve">What only you can do</w:t>
      </w:r>
    </w:p>
    <w:p>
      <w:pPr>
        <w:spacing w:after="140"/>
      </w:pPr>
      <w:r>
        <w:rPr>
          <w:rFonts w:ascii="Calibri" w:cs="Calibri" w:eastAsia="Calibri" w:hAnsi="Calibri"/>
          <w:color w:val="27272A"/>
          <w:sz w:val="22"/>
          <w:szCs w:val="22"/>
        </w:rPr>
        <w:t xml:space="preserve">Some things do not delegate. Keep these; delegate almost everything else.</w:t>
      </w:r>
    </w:p>
    <w:p>
      <w:pPr>
        <w:pStyle w:val="ListParagraph"/>
        <w:numPr>
          <w:ilvl w:val="0"/>
          <w:numId w:val="2"/>
        </w:numPr>
        <w:spacing w:after="60"/>
      </w:pPr>
      <w:r>
        <w:rPr>
          <w:rFonts w:ascii="Calibri" w:cs="Calibri" w:eastAsia="Calibri" w:hAnsi="Calibri"/>
          <w:color w:val="27272A"/>
          <w:sz w:val="22"/>
          <w:szCs w:val="22"/>
        </w:rPr>
        <w:t xml:space="preserve">Setting direction and priorities for the team.</w:t>
      </w:r>
    </w:p>
    <w:p>
      <w:pPr>
        <w:pStyle w:val="ListParagraph"/>
        <w:numPr>
          <w:ilvl w:val="0"/>
          <w:numId w:val="2"/>
        </w:numPr>
        <w:spacing w:after="60"/>
      </w:pPr>
      <w:r>
        <w:rPr>
          <w:rFonts w:ascii="Calibri" w:cs="Calibri" w:eastAsia="Calibri" w:hAnsi="Calibri"/>
          <w:color w:val="27272A"/>
          <w:sz w:val="22"/>
          <w:szCs w:val="22"/>
        </w:rPr>
        <w:t xml:space="preserve">Difficult feedback and personnel decisions.</w:t>
      </w:r>
    </w:p>
    <w:p>
      <w:pPr>
        <w:pStyle w:val="ListParagraph"/>
        <w:numPr>
          <w:ilvl w:val="0"/>
          <w:numId w:val="2"/>
        </w:numPr>
        <w:spacing w:after="60"/>
      </w:pPr>
      <w:r>
        <w:rPr>
          <w:rFonts w:ascii="Calibri" w:cs="Calibri" w:eastAsia="Calibri" w:hAnsi="Calibri"/>
          <w:color w:val="27272A"/>
          <w:sz w:val="22"/>
          <w:szCs w:val="22"/>
        </w:rPr>
        <w:t xml:space="preserve">Relationships where your specific seniority is the point.</w:t>
      </w:r>
    </w:p>
    <w:p>
      <w:pPr>
        <w:spacing w:after="100" w:before="260"/>
      </w:pPr>
      <w:r>
        <w:rPr>
          <w:rFonts w:ascii="Calibri" w:cs="Calibri" w:eastAsia="Calibri" w:hAnsi="Calibri"/>
          <w:b/>
          <w:bCs/>
          <w:color w:val="B45309"/>
          <w:sz w:val="26"/>
          <w:szCs w:val="26"/>
        </w:rPr>
        <w:t xml:space="preserve">Your delegation worksheet</w:t>
      </w:r>
    </w:p>
    <w:p>
      <w:pPr>
        <w:spacing w:after="140"/>
      </w:pPr>
      <w:r>
        <w:rPr>
          <w:rFonts w:ascii="Calibri" w:cs="Calibri" w:eastAsia="Calibri" w:hAnsi="Calibri"/>
          <w:color w:val="27272A"/>
          <w:sz w:val="22"/>
          <w:szCs w:val="22"/>
        </w:rPr>
        <w:t xml:space="preserve">List what is on your plate, then assign an owner and a level to each. Anything you keep at Level 1 forever is a task you have not truly delegated.</w:t>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3400"/>
        <w:gridCol w:w="1800"/>
        <w:gridCol w:w="1300"/>
        <w:gridCol w:w="1900"/>
      </w:tblGrid>
      <w:tr>
        <w:trPr>
          <w:tblHeader/>
        </w:trPr>
        <w:tc>
          <w:tcPr>
            <w:tcW w:type="dxa" w:w="34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Task</w:t>
            </w:r>
          </w:p>
        </w:tc>
        <w:tc>
          <w:tcPr>
            <w:tcW w:type="dxa" w:w="18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Owner</w:t>
            </w:r>
          </w:p>
        </w:tc>
        <w:tc>
          <w:tcPr>
            <w:tcW w:type="dxa" w:w="13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Level (1–5)</w:t>
            </w:r>
          </w:p>
        </w:tc>
        <w:tc>
          <w:tcPr>
            <w:tcW w:type="dxa" w:w="1900"/>
            <w:shd w:fill="18181B" w:val="clear"/>
            <w:tcMar>
              <w:top w:type="dxa" w:w="60"/>
              <w:left w:type="dxa" w:w="100"/>
              <w:bottom w:type="dxa" w:w="60"/>
              <w:right w:type="dxa" w:w="100"/>
            </w:tcMar>
          </w:tcPr>
          <w:p>
            <w:r>
              <w:rPr>
                <w:rFonts w:ascii="Calibri" w:cs="Calibri" w:eastAsia="Calibri" w:hAnsi="Calibri"/>
                <w:b/>
                <w:bCs/>
                <w:color w:val="FFFFFF"/>
                <w:sz w:val="20"/>
                <w:szCs w:val="20"/>
              </w:rPr>
              <w:t xml:space="preserve">Check-in cadence</w:t>
            </w:r>
          </w:p>
        </w:tc>
      </w:tr>
      <w:tr>
        <w:tc>
          <w:tcPr>
            <w:tcW w:type="dxa" w:w="34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8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3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34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8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3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34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8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3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34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8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3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4F4F5"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r>
        <w:tc>
          <w:tcPr>
            <w:tcW w:type="dxa" w:w="34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8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3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c>
          <w:tcPr>
            <w:tcW w:type="dxa" w:w="1900"/>
            <w:shd w:fill="FFFFFF" w:val="clear"/>
            <w:tcMar>
              <w:top w:type="dxa" w:w="60"/>
              <w:left w:type="dxa" w:w="100"/>
              <w:bottom w:type="dxa" w:w="60"/>
              <w:right w:type="dxa" w:w="100"/>
            </w:tcMar>
          </w:tcPr>
          <w:p>
            <w:r>
              <w:rPr>
                <w:rFonts w:ascii="Calibri" w:cs="Calibri" w:eastAsia="Calibri" w:hAnsi="Calibri"/>
                <w:b w:val="false"/>
                <w:bCs w:val="false"/>
                <w:color w:val="27272A"/>
                <w:sz w:val="20"/>
                <w:szCs w:val="20"/>
              </w:rPr>
              <w:t xml:space="preserve"/>
            </w:r>
          </w:p>
        </w:tc>
      </w:tr>
    </w:tbl>
    <w:p>
      <w:pPr>
        <w:pBdr>
          <w:top w:val="single" w:color="E4E4E7" w:sz="6" w:space="10"/>
        </w:pBdr>
        <w:spacing w:before="360"/>
        <w:jc w:val="center"/>
      </w:pPr>
      <w:r>
        <w:rPr>
          <w:rFonts w:ascii="Calibri" w:cs="Calibri" w:eastAsia="Calibri" w:hAnsi="Calibri"/>
          <w:color w:val="71717A"/>
          <w:sz w:val="18"/>
          <w:szCs w:val="18"/>
        </w:rPr>
        <w:t xml:space="preserve">The Leadership Compass by Sudarshan  ·  leadershipcompass.co.in</w:t>
      </w:r>
    </w:p>
    <w:sectPr>
      <w:pgSz w:w="11906" w:h="16838"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B45309"/>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2026-07-02T11:35:09.696Z</dcterms:created>
  <dcterms:modified xsi:type="dcterms:W3CDTF">2026-07-02T11:35:09.696Z</dcterms:modified>
</cp:coreProperties>
</file>

<file path=docProps/custom.xml><?xml version="1.0" encoding="utf-8"?>
<Properties xmlns="http://schemas.openxmlformats.org/officeDocument/2006/custom-properties" xmlns:vt="http://schemas.openxmlformats.org/officeDocument/2006/docPropsVTypes"/>
</file>