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Calibri" w:cs="Calibri" w:eastAsia="Calibri" w:hAnsi="Calibri"/>
          <w:b/>
          <w:bCs/>
          <w:color w:val="18181B"/>
          <w:sz w:val="40"/>
          <w:szCs w:val="40"/>
        </w:rPr>
        <w:t xml:space="preserve">The Difficult Conversation Planner</w:t>
      </w:r>
    </w:p>
    <w:p>
      <w:pPr>
        <w:pBdr>
          <w:bottom w:val="single" w:color="B45309" w:sz="6" w:space="8"/>
        </w:pBdr>
        <w:spacing w:after="240"/>
      </w:pPr>
      <w:r>
        <w:rPr>
          <w:rFonts w:ascii="Calibri" w:cs="Calibri" w:eastAsia="Calibri" w:hAnsi="Calibri"/>
          <w:i/>
          <w:iCs/>
          <w:color w:val="52525B"/>
          <w:sz w:val="22"/>
          <w:szCs w:val="22"/>
        </w:rPr>
        <w:t xml:space="preserve">Prepare for the conversation you have been avoiding — so it lands as clarity, not conflict.</w:t>
      </w:r>
    </w:p>
    <w:p>
      <w:pPr>
        <w:spacing w:after="140"/>
      </w:pPr>
      <w:r>
        <w:rPr>
          <w:rFonts w:ascii="Calibri" w:cs="Calibri" w:eastAsia="Calibri" w:hAnsi="Calibri"/>
          <w:color w:val="27272A"/>
          <w:sz w:val="22"/>
          <w:szCs w:val="22"/>
        </w:rPr>
        <w:t xml:space="preserve">Most hard conversations go badly not because the message is wrong, but because we walk in unprepared: unclear on the goal, tangled up in our own story, and braced for a fight. This planner walks you through what to do before, during, and after — so you can be direct and kind at the same time. Fill it in before the conversation, not during it.</w:t>
      </w:r>
    </w:p>
    <w:p>
      <w:pPr>
        <w:pBdr>
          <w:left w:val="single" w:color="B45309" w:sz="18" w:space="12"/>
        </w:pBdr>
        <w:shd w:fill="FEF3C7" w:val="clear"/>
        <w:spacing w:after="160" w:before="120"/>
      </w:pPr>
      <w:r>
        <w:rPr>
          <w:rFonts w:ascii="Calibri" w:cs="Calibri" w:eastAsia="Calibri" w:hAnsi="Calibri"/>
          <w:color w:val="18181B"/>
          <w:sz w:val="22"/>
          <w:szCs w:val="22"/>
        </w:rPr>
        <w:t xml:space="preserve">The goal is not to win. It is to be understood, to understand them, and to leave the relationship intact. If you only want to be right, you are not ready to have the conversation.</w:t>
      </w:r>
    </w:p>
    <w:p>
      <w:pPr>
        <w:spacing w:after="100" w:before="260"/>
      </w:pPr>
      <w:r>
        <w:rPr>
          <w:rFonts w:ascii="Calibri" w:cs="Calibri" w:eastAsia="Calibri" w:hAnsi="Calibri"/>
          <w:b/>
          <w:bCs/>
          <w:color w:val="B45309"/>
          <w:sz w:val="26"/>
          <w:szCs w:val="26"/>
        </w:rPr>
        <w:t xml:space="preserve">Step 1 · Separate the facts from your story</w:t>
      </w:r>
    </w:p>
    <w:p>
      <w:pPr>
        <w:spacing w:after="140"/>
      </w:pPr>
      <w:r>
        <w:rPr>
          <w:rFonts w:ascii="Calibri" w:cs="Calibri" w:eastAsia="Calibri" w:hAnsi="Calibri"/>
          <w:color w:val="27272A"/>
          <w:sz w:val="22"/>
          <w:szCs w:val="22"/>
        </w:rPr>
        <w:t xml:space="preserve">Before anything else, write down what actually happened versus the story you have built around it. The facts are what a camera would record. The story is your interpretation — and it may be wrong.</w:t>
      </w:r>
    </w:p>
    <w:p>
      <w:pPr>
        <w:spacing w:after="80"/>
      </w:pP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4200"/>
        <w:gridCol w:w="4200"/>
      </w:tblGrid>
      <w:tr>
        <w:trPr>
          <w:tblHeader/>
        </w:trPr>
        <w:tc>
          <w:tcPr>
            <w:tcW w:type="dxa" w:w="4200"/>
            <w:shd w:fill="18181B" w:val="clear"/>
            <w:tcMar>
              <w:top w:type="dxa" w:w="60"/>
              <w:left w:type="dxa" w:w="100"/>
              <w:bottom w:type="dxa" w:w="60"/>
              <w:right w:type="dxa" w:w="100"/>
            </w:tcMar>
          </w:tcPr>
          <w:p>
            <w:r>
              <w:rPr>
                <w:rFonts w:ascii="Calibri" w:cs="Calibri" w:eastAsia="Calibri" w:hAnsi="Calibri"/>
                <w:b/>
                <w:bCs/>
                <w:color w:val="FFFFFF"/>
                <w:sz w:val="20"/>
                <w:szCs w:val="20"/>
              </w:rPr>
              <w:t xml:space="preserve">The facts (observable)</w:t>
            </w:r>
          </w:p>
        </w:tc>
        <w:tc>
          <w:tcPr>
            <w:tcW w:type="dxa" w:w="4200"/>
            <w:shd w:fill="18181B" w:val="clear"/>
            <w:tcMar>
              <w:top w:type="dxa" w:w="60"/>
              <w:left w:type="dxa" w:w="100"/>
              <w:bottom w:type="dxa" w:w="60"/>
              <w:right w:type="dxa" w:w="100"/>
            </w:tcMar>
          </w:tcPr>
          <w:p>
            <w:r>
              <w:rPr>
                <w:rFonts w:ascii="Calibri" w:cs="Calibri" w:eastAsia="Calibri" w:hAnsi="Calibri"/>
                <w:b/>
                <w:bCs/>
                <w:color w:val="FFFFFF"/>
                <w:sz w:val="20"/>
                <w:szCs w:val="20"/>
              </w:rPr>
              <w:t xml:space="preserve">The story I am telling myself</w:t>
            </w:r>
          </w:p>
        </w:tc>
      </w:tr>
      <w:tr>
        <w:tc>
          <w:tcPr>
            <w:tcW w:type="dxa" w:w="42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42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r>
      <w:tr>
        <w:tc>
          <w:tcPr>
            <w:tcW w:type="dxa" w:w="4200"/>
            <w:shd w:fill="F4F4F5"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4200"/>
            <w:shd w:fill="F4F4F5"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r>
    </w:tbl>
    <w:p>
      <w:pPr>
        <w:spacing w:after="100" w:before="260"/>
      </w:pPr>
      <w:r>
        <w:rPr>
          <w:rFonts w:ascii="Calibri" w:cs="Calibri" w:eastAsia="Calibri" w:hAnsi="Calibri"/>
          <w:b/>
          <w:bCs/>
          <w:color w:val="B45309"/>
          <w:sz w:val="26"/>
          <w:szCs w:val="26"/>
        </w:rPr>
        <w:t xml:space="preserve">Step 2 · Get clear on your goal</w:t>
      </w:r>
    </w:p>
    <w:p>
      <w:pPr>
        <w:spacing w:after="140"/>
      </w:pPr>
      <w:r>
        <w:rPr>
          <w:rFonts w:ascii="Calibri" w:cs="Calibri" w:eastAsia="Calibri" w:hAnsi="Calibri"/>
          <w:color w:val="27272A"/>
          <w:sz w:val="22"/>
          <w:szCs w:val="22"/>
        </w:rPr>
        <w:t xml:space="preserve">Answer these before you open your mouth. Vague goals produce vague, meandering conversations.</w:t>
      </w:r>
    </w:p>
    <w:p>
      <w:pPr>
        <w:pStyle w:val="ListParagraph"/>
        <w:numPr>
          <w:ilvl w:val="0"/>
          <w:numId w:val="2"/>
        </w:numPr>
        <w:spacing w:after="60"/>
      </w:pPr>
      <w:r>
        <w:rPr>
          <w:rFonts w:ascii="Calibri" w:cs="Calibri" w:eastAsia="Calibri" w:hAnsi="Calibri"/>
          <w:color w:val="27272A"/>
          <w:sz w:val="22"/>
          <w:szCs w:val="22"/>
        </w:rPr>
        <w:t xml:space="preserve">What is the one thing I most need them to hear?</w:t>
      </w:r>
    </w:p>
    <w:p>
      <w:pPr>
        <w:pStyle w:val="ListParagraph"/>
        <w:numPr>
          <w:ilvl w:val="0"/>
          <w:numId w:val="2"/>
        </w:numPr>
        <w:spacing w:after="60"/>
      </w:pPr>
      <w:r>
        <w:rPr>
          <w:rFonts w:ascii="Calibri" w:cs="Calibri" w:eastAsia="Calibri" w:hAnsi="Calibri"/>
          <w:color w:val="27272A"/>
          <w:sz w:val="22"/>
          <w:szCs w:val="22"/>
        </w:rPr>
        <w:t xml:space="preserve">What outcome would make this conversation a success?</w:t>
      </w:r>
    </w:p>
    <w:p>
      <w:pPr>
        <w:pStyle w:val="ListParagraph"/>
        <w:numPr>
          <w:ilvl w:val="0"/>
          <w:numId w:val="2"/>
        </w:numPr>
        <w:spacing w:after="60"/>
      </w:pPr>
      <w:r>
        <w:rPr>
          <w:rFonts w:ascii="Calibri" w:cs="Calibri" w:eastAsia="Calibri" w:hAnsi="Calibri"/>
          <w:color w:val="27272A"/>
          <w:sz w:val="22"/>
          <w:szCs w:val="22"/>
        </w:rPr>
        <w:t xml:space="preserve">What do I want for them, and for the relationship, on the other side of it?</w:t>
      </w:r>
    </w:p>
    <w:p>
      <w:pPr>
        <w:spacing w:after="100" w:before="260"/>
      </w:pPr>
      <w:r>
        <w:rPr>
          <w:rFonts w:ascii="Calibri" w:cs="Calibri" w:eastAsia="Calibri" w:hAnsi="Calibri"/>
          <w:b/>
          <w:bCs/>
          <w:color w:val="B45309"/>
          <w:sz w:val="26"/>
          <w:szCs w:val="26"/>
        </w:rPr>
        <w:t xml:space="preserve">Step 3 · Plan your opening</w:t>
      </w:r>
    </w:p>
    <w:p>
      <w:pPr>
        <w:spacing w:after="140"/>
      </w:pPr>
      <w:r>
        <w:rPr>
          <w:rFonts w:ascii="Calibri" w:cs="Calibri" w:eastAsia="Calibri" w:hAnsi="Calibri"/>
          <w:color w:val="27272A"/>
          <w:sz w:val="22"/>
          <w:szCs w:val="22"/>
        </w:rPr>
        <w:t xml:space="preserve">The first thirty seconds set the tone. Name the topic plainly, state your good intent, and invite their view. Avoid the two classic traps: burying the point in small talk, or leading with an accusation.</w:t>
      </w:r>
    </w:p>
    <w:p>
      <w:pPr>
        <w:pBdr>
          <w:left w:val="single" w:color="B45309" w:sz="18" w:space="12"/>
        </w:pBdr>
        <w:shd w:fill="FEF3C7" w:val="clear"/>
        <w:spacing w:after="160" w:before="120"/>
      </w:pPr>
      <w:r>
        <w:rPr>
          <w:rFonts w:ascii="Calibri" w:cs="Calibri" w:eastAsia="Calibri" w:hAnsi="Calibri"/>
          <w:color w:val="18181B"/>
          <w:sz w:val="22"/>
          <w:szCs w:val="22"/>
        </w:rPr>
        <w:t xml:space="preserve">A reliable opener: "I want to talk about ___. My hope is that we come out of this with ___. I may be missing things, so I want to hear your side too. Can we do that now?"</w:t>
      </w:r>
    </w:p>
    <w:p>
      <w:pPr>
        <w:spacing w:after="100" w:before="260"/>
      </w:pPr>
      <w:r>
        <w:rPr>
          <w:rFonts w:ascii="Calibri" w:cs="Calibri" w:eastAsia="Calibri" w:hAnsi="Calibri"/>
          <w:b/>
          <w:bCs/>
          <w:color w:val="B45309"/>
          <w:sz w:val="26"/>
          <w:szCs w:val="26"/>
        </w:rPr>
        <w:t xml:space="preserve">Step 4 · Stay on track during</w:t>
      </w:r>
    </w:p>
    <w:p>
      <w:pPr>
        <w:pStyle w:val="ListParagraph"/>
        <w:numPr>
          <w:ilvl w:val="0"/>
          <w:numId w:val="2"/>
        </w:numPr>
        <w:spacing w:after="60"/>
      </w:pPr>
      <w:r>
        <w:rPr>
          <w:rFonts w:ascii="Calibri" w:cs="Calibri" w:eastAsia="Calibri" w:hAnsi="Calibri"/>
          <w:color w:val="27272A"/>
          <w:sz w:val="22"/>
          <w:szCs w:val="22"/>
        </w:rPr>
        <w:t xml:space="preserve">Lead with curiosity: ask, then genuinely listen, before defending.</w:t>
      </w:r>
    </w:p>
    <w:p>
      <w:pPr>
        <w:pStyle w:val="ListParagraph"/>
        <w:numPr>
          <w:ilvl w:val="0"/>
          <w:numId w:val="2"/>
        </w:numPr>
        <w:spacing w:after="60"/>
      </w:pPr>
      <w:r>
        <w:rPr>
          <w:rFonts w:ascii="Calibri" w:cs="Calibri" w:eastAsia="Calibri" w:hAnsi="Calibri"/>
          <w:color w:val="27272A"/>
          <w:sz w:val="22"/>
          <w:szCs w:val="22"/>
        </w:rPr>
        <w:t xml:space="preserve">Separate the person from the problem — attack the issue, not their character.</w:t>
      </w:r>
    </w:p>
    <w:p>
      <w:pPr>
        <w:pStyle w:val="ListParagraph"/>
        <w:numPr>
          <w:ilvl w:val="0"/>
          <w:numId w:val="2"/>
        </w:numPr>
        <w:spacing w:after="60"/>
      </w:pPr>
      <w:r>
        <w:rPr>
          <w:rFonts w:ascii="Calibri" w:cs="Calibri" w:eastAsia="Calibri" w:hAnsi="Calibri"/>
          <w:color w:val="27272A"/>
          <w:sz w:val="22"/>
          <w:szCs w:val="22"/>
        </w:rPr>
        <w:t xml:space="preserve">When emotion spikes, slow down. Name it: "I can see this matters — let's take a moment."</w:t>
      </w:r>
    </w:p>
    <w:p>
      <w:pPr>
        <w:pStyle w:val="ListParagraph"/>
        <w:numPr>
          <w:ilvl w:val="0"/>
          <w:numId w:val="2"/>
        </w:numPr>
        <w:spacing w:after="60"/>
      </w:pPr>
      <w:r>
        <w:rPr>
          <w:rFonts w:ascii="Calibri" w:cs="Calibri" w:eastAsia="Calibri" w:hAnsi="Calibri"/>
          <w:color w:val="27272A"/>
          <w:sz w:val="22"/>
          <w:szCs w:val="22"/>
        </w:rPr>
        <w:t xml:space="preserve">Own your part out loud. It gives them permission to own theirs.</w:t>
      </w:r>
    </w:p>
    <w:p>
      <w:pPr>
        <w:spacing w:after="100" w:before="260"/>
      </w:pPr>
      <w:r>
        <w:rPr>
          <w:rFonts w:ascii="Calibri" w:cs="Calibri" w:eastAsia="Calibri" w:hAnsi="Calibri"/>
          <w:b/>
          <w:bCs/>
          <w:color w:val="B45309"/>
          <w:sz w:val="26"/>
          <w:szCs w:val="26"/>
        </w:rPr>
        <w:t xml:space="preserve">Step 5 · Close and follow up</w:t>
      </w:r>
    </w:p>
    <w:p>
      <w:pPr>
        <w:spacing w:after="140"/>
      </w:pPr>
      <w:r>
        <w:rPr>
          <w:rFonts w:ascii="Calibri" w:cs="Calibri" w:eastAsia="Calibri" w:hAnsi="Calibri"/>
          <w:color w:val="27272A"/>
          <w:sz w:val="22"/>
          <w:szCs w:val="22"/>
        </w:rPr>
        <w:t xml:space="preserve">End with shared understanding and a concrete next step, then follow through — a conversation with no follow-up teaches people that raising things changes nothing.</w:t>
      </w:r>
    </w:p>
    <w:p>
      <w:pPr>
        <w:spacing w:after="80"/>
      </w:pPr>
    </w:p>
    <w:tbl>
      <w:tblPr>
        <w:tblW w:type="dxa" w:w="8200"/>
        <w:tblBorders>
          <w:top w:val="single" w:color="auto" w:sz="4"/>
          <w:left w:val="single" w:color="auto" w:sz="4"/>
          <w:bottom w:val="single" w:color="auto" w:sz="4"/>
          <w:right w:val="single" w:color="auto" w:sz="4"/>
          <w:insideH w:val="single" w:color="auto" w:sz="4"/>
          <w:insideV w:val="single" w:color="auto" w:sz="4"/>
        </w:tblBorders>
      </w:tblPr>
      <w:tblGrid>
        <w:gridCol w:w="3200"/>
        <w:gridCol w:w="1900"/>
        <w:gridCol w:w="1500"/>
        <w:gridCol w:w="1600"/>
      </w:tblGrid>
      <w:tr>
        <w:trPr>
          <w:tblHeader/>
        </w:trPr>
        <w:tc>
          <w:tcPr>
            <w:tcW w:type="dxa" w:w="3200"/>
            <w:shd w:fill="18181B" w:val="clear"/>
            <w:tcMar>
              <w:top w:type="dxa" w:w="60"/>
              <w:left w:type="dxa" w:w="100"/>
              <w:bottom w:type="dxa" w:w="60"/>
              <w:right w:type="dxa" w:w="100"/>
            </w:tcMar>
          </w:tcPr>
          <w:p>
            <w:r>
              <w:rPr>
                <w:rFonts w:ascii="Calibri" w:cs="Calibri" w:eastAsia="Calibri" w:hAnsi="Calibri"/>
                <w:b/>
                <w:bCs/>
                <w:color w:val="FFFFFF"/>
                <w:sz w:val="20"/>
                <w:szCs w:val="20"/>
              </w:rPr>
              <w:t xml:space="preserve">What we agreed</w:t>
            </w:r>
          </w:p>
        </w:tc>
        <w:tc>
          <w:tcPr>
            <w:tcW w:type="dxa" w:w="1900"/>
            <w:shd w:fill="18181B" w:val="clear"/>
            <w:tcMar>
              <w:top w:type="dxa" w:w="60"/>
              <w:left w:type="dxa" w:w="100"/>
              <w:bottom w:type="dxa" w:w="60"/>
              <w:right w:type="dxa" w:w="100"/>
            </w:tcMar>
          </w:tcPr>
          <w:p>
            <w:r>
              <w:rPr>
                <w:rFonts w:ascii="Calibri" w:cs="Calibri" w:eastAsia="Calibri" w:hAnsi="Calibri"/>
                <w:b/>
                <w:bCs/>
                <w:color w:val="FFFFFF"/>
                <w:sz w:val="20"/>
                <w:szCs w:val="20"/>
              </w:rPr>
              <w:t xml:space="preserve">Who owns it</w:t>
            </w:r>
          </w:p>
        </w:tc>
        <w:tc>
          <w:tcPr>
            <w:tcW w:type="dxa" w:w="1500"/>
            <w:shd w:fill="18181B" w:val="clear"/>
            <w:tcMar>
              <w:top w:type="dxa" w:w="60"/>
              <w:left w:type="dxa" w:w="100"/>
              <w:bottom w:type="dxa" w:w="60"/>
              <w:right w:type="dxa" w:w="100"/>
            </w:tcMar>
          </w:tcPr>
          <w:p>
            <w:r>
              <w:rPr>
                <w:rFonts w:ascii="Calibri" w:cs="Calibri" w:eastAsia="Calibri" w:hAnsi="Calibri"/>
                <w:b/>
                <w:bCs/>
                <w:color w:val="FFFFFF"/>
                <w:sz w:val="20"/>
                <w:szCs w:val="20"/>
              </w:rPr>
              <w:t xml:space="preserve">By when</w:t>
            </w:r>
          </w:p>
        </w:tc>
        <w:tc>
          <w:tcPr>
            <w:tcW w:type="dxa" w:w="1600"/>
            <w:shd w:fill="18181B" w:val="clear"/>
            <w:tcMar>
              <w:top w:type="dxa" w:w="60"/>
              <w:left w:type="dxa" w:w="100"/>
              <w:bottom w:type="dxa" w:w="60"/>
              <w:right w:type="dxa" w:w="100"/>
            </w:tcMar>
          </w:tcPr>
          <w:p>
            <w:r>
              <w:rPr>
                <w:rFonts w:ascii="Calibri" w:cs="Calibri" w:eastAsia="Calibri" w:hAnsi="Calibri"/>
                <w:b/>
                <w:bCs/>
                <w:color w:val="FFFFFF"/>
                <w:sz w:val="20"/>
                <w:szCs w:val="20"/>
              </w:rPr>
              <w:t xml:space="preserve">Follow-up date</w:t>
            </w:r>
          </w:p>
        </w:tc>
      </w:tr>
      <w:tr>
        <w:tc>
          <w:tcPr>
            <w:tcW w:type="dxa" w:w="32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9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5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6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r>
      <w:tr>
        <w:tc>
          <w:tcPr>
            <w:tcW w:type="dxa" w:w="3200"/>
            <w:shd w:fill="F4F4F5"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900"/>
            <w:shd w:fill="F4F4F5"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500"/>
            <w:shd w:fill="F4F4F5"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600"/>
            <w:shd w:fill="F4F4F5"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r>
      <w:tr>
        <w:tc>
          <w:tcPr>
            <w:tcW w:type="dxa" w:w="32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9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5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6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r>
    </w:tbl>
    <w:p>
      <w:pPr>
        <w:pBdr>
          <w:top w:val="single" w:color="E4E4E7" w:sz="6" w:space="10"/>
        </w:pBdr>
        <w:spacing w:before="360"/>
        <w:jc w:val="center"/>
      </w:pPr>
      <w:r>
        <w:rPr>
          <w:rFonts w:ascii="Calibri" w:cs="Calibri" w:eastAsia="Calibri" w:hAnsi="Calibri"/>
          <w:color w:val="71717A"/>
          <w:sz w:val="18"/>
          <w:szCs w:val="18"/>
        </w:rPr>
        <w:t xml:space="preserve">The Leadership Compass by Sudarshan  ·  leadershipcompass.co.in</w:t>
      </w:r>
    </w:p>
    <w:sectPr>
      <w:pgSz w:w="11906" w:h="16838" w:orient="portrait"/>
      <w:pgMar w:top="1080" w:right="1200" w:bottom="108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20"/>
      </w:pPr>
      <w:rPr>
        <w:color w:val="B45309"/>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2026-07-02T12:26:23.090Z</dcterms:created>
  <dcterms:modified xsi:type="dcterms:W3CDTF">2026-07-02T12:26:23.097Z</dcterms:modified>
</cp:coreProperties>
</file>

<file path=docProps/custom.xml><?xml version="1.0" encoding="utf-8"?>
<Properties xmlns="http://schemas.openxmlformats.org/officeDocument/2006/custom-properties" xmlns:vt="http://schemas.openxmlformats.org/officeDocument/2006/docPropsVTypes"/>
</file>